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F5" w:rsidRDefault="009E7C22">
      <w:pPr>
        <w:pStyle w:val="afa"/>
        <w:shd w:val="clear" w:color="auto" w:fill="FFFFFF"/>
        <w:spacing w:before="0" w:beforeAutospacing="0" w:after="0" w:afterAutospacing="0"/>
        <w:ind w:firstLine="709"/>
        <w:jc w:val="right"/>
        <w:rPr>
          <w:rStyle w:val="af9"/>
          <w:color w:val="auto"/>
          <w:sz w:val="28"/>
          <w:szCs w:val="28"/>
          <w:u w:val="none"/>
        </w:rPr>
      </w:pPr>
      <w:r>
        <w:rPr>
          <w:rStyle w:val="af9"/>
          <w:color w:val="auto"/>
          <w:sz w:val="28"/>
          <w:szCs w:val="28"/>
          <w:u w:val="none"/>
        </w:rPr>
        <w:t xml:space="preserve">Приложение </w:t>
      </w:r>
      <w:r w:rsidR="00B6166B">
        <w:rPr>
          <w:rStyle w:val="af9"/>
          <w:color w:val="auto"/>
          <w:sz w:val="28"/>
          <w:szCs w:val="28"/>
          <w:u w:val="none"/>
        </w:rPr>
        <w:t>№ </w:t>
      </w:r>
      <w:bookmarkStart w:id="0" w:name="_GoBack"/>
      <w:bookmarkEnd w:id="0"/>
      <w:r>
        <w:rPr>
          <w:rStyle w:val="af9"/>
          <w:color w:val="auto"/>
          <w:sz w:val="28"/>
          <w:szCs w:val="28"/>
          <w:u w:val="none"/>
        </w:rPr>
        <w:t>2</w:t>
      </w:r>
      <w:r>
        <w:rPr>
          <w:rStyle w:val="af9"/>
          <w:color w:val="auto"/>
          <w:sz w:val="28"/>
          <w:szCs w:val="28"/>
          <w:u w:val="none"/>
        </w:rPr>
        <w:br/>
      </w:r>
    </w:p>
    <w:p w:rsidR="00412CF5" w:rsidRDefault="009E7C2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мероприятий по актуализации данных в Справочнике организаций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АИС «Статистика» (для библиотек, культурно-досуговых учреждений,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детских школ искусств)</w:t>
      </w:r>
    </w:p>
    <w:p w:rsidR="00412CF5" w:rsidRDefault="00412CF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F5" w:rsidRDefault="009E7C2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. Актуализация данных в отраслевых справочниках </w:t>
      </w:r>
    </w:p>
    <w:p w:rsidR="00412CF5" w:rsidRDefault="009E7C2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качества статистической отчетности</w:t>
      </w:r>
    </w:p>
    <w:p w:rsidR="00412CF5" w:rsidRDefault="00412CF5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412CF5" w:rsidRDefault="009E7C2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Обеспечение полного соответствия данных в справочнике организаций АИС «Статистика» реальному состоянию сети организаций (библиотек, клубов/домов культуры, детских школ искусств) на территории </w:t>
      </w:r>
      <w:r>
        <w:rPr>
          <w:rFonts w:ascii="Times New Roman" w:hAnsi="Times New Roman" w:cs="Times New Roman"/>
          <w:sz w:val="28"/>
          <w:szCs w:val="28"/>
        </w:rPr>
        <w:br/>
        <w:t>субъектов Российской Федерации</w:t>
      </w:r>
    </w:p>
    <w:p w:rsidR="00412CF5" w:rsidRDefault="00412CF5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412CF5" w:rsidRDefault="009E7C2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выполнения</w:t>
      </w:r>
      <w:r>
        <w:rPr>
          <w:rFonts w:ascii="Times New Roman" w:hAnsi="Times New Roman" w:cs="Times New Roman"/>
          <w:sz w:val="28"/>
          <w:szCs w:val="28"/>
        </w:rPr>
        <w:t>: с 01.10.2025 до 28.11.2025</w:t>
      </w:r>
    </w:p>
    <w:p w:rsidR="00412CF5" w:rsidRDefault="00412CF5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F5" w:rsidRDefault="009E7C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процесса и их зоны ответственности:</w:t>
      </w:r>
    </w:p>
    <w:p w:rsidR="00412CF5" w:rsidRDefault="009E7C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Федеральное государственное бюджетное учреждение «Главный информационно-вычислительный центр Министерства культуры Российской Федерации» (далее – ГИВЦ Минкультуры России):</w:t>
      </w:r>
    </w:p>
    <w:p w:rsidR="00412CF5" w:rsidRDefault="009E7C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Техническая и методологическая поддержка процесса;</w:t>
      </w:r>
    </w:p>
    <w:p w:rsidR="00412CF5" w:rsidRDefault="009E7C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Мониторинг общего прогресса актуализации;</w:t>
      </w:r>
    </w:p>
    <w:p w:rsidR="00412CF5" w:rsidRDefault="009E7C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Фиксация внесенных изменений и закрытие периода редактирования.</w:t>
      </w:r>
    </w:p>
    <w:p w:rsidR="00412CF5" w:rsidRDefault="009E7C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Исполнительные органы субъектов Российской Федерации в сфере культуры:</w:t>
      </w:r>
    </w:p>
    <w:p w:rsidR="00412CF5" w:rsidRDefault="009E7C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Организационно-распорядительная функция в регионе.</w:t>
      </w:r>
    </w:p>
    <w:p w:rsidR="00412CF5" w:rsidRDefault="009E7C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Информирование и формирование задания для организаций, назначенных исполнительным органом субъекта Российской Федерации в сфере культуры ответственными за предоставление первичной информации по </w:t>
      </w:r>
      <w:hyperlink r:id="rId7" w:tooltip="consultantplus://offline/ref=B2E868D462985517D4C2EB5A1FF1203698D7251E49BAA4BE7A955A702DC276F367872072277113AFD289B85DF2DF2D1999AB225F49D065B6x2x1I" w:history="1">
        <w:r>
          <w:rPr>
            <w:rFonts w:ascii="Times New Roman" w:hAnsi="Times New Roman" w:cs="Times New Roman"/>
            <w:sz w:val="28"/>
            <w:szCs w:val="28"/>
          </w:rPr>
          <w:t>формам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(далее – формы ФСН) № 6-НК, № 7-НК, № 1-ДШИ </w:t>
      </w:r>
      <w:r>
        <w:rPr>
          <w:rFonts w:ascii="Times New Roman" w:hAnsi="Times New Roman" w:cs="Times New Roman"/>
          <w:sz w:val="28"/>
          <w:szCs w:val="28"/>
        </w:rPr>
        <w:br/>
        <w:t>и ведомственных мониторингов  для каждого вида деятельности (детские школы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искусств, библиотеки, культурно-досуговые учреждения) (далее – Ответственные организации).</w:t>
      </w:r>
    </w:p>
    <w:p w:rsidR="00412CF5" w:rsidRDefault="009E7C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Мониторинг и актуализация сведений о контактных данных Ответственных организаций в субъекте Российской Федерации</w:t>
      </w:r>
      <w:r>
        <w:rPr>
          <w:rStyle w:val="aff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2CF5" w:rsidRDefault="009E7C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Информирование Министерства культуры Российской Федерации» (далее – Минкультуры России) о завершении работы в установленный срок. </w:t>
      </w:r>
    </w:p>
    <w:p w:rsidR="00412CF5" w:rsidRDefault="009E7C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Ответственные организации:</w:t>
      </w:r>
    </w:p>
    <w:p w:rsidR="00412CF5" w:rsidRDefault="009E7C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Внесение изменений в справочник АИС «Статистика» по курируемому виду организаций (детские школы искусств, библиотеки, культурно-досуговые учреждения), действующих на территории субъекта, включая все организации культуры, независимо от формы деятельности и ведомственной принадлежности.</w:t>
      </w:r>
    </w:p>
    <w:p w:rsidR="00412CF5" w:rsidRDefault="009E7C2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Проверка актуальности данных: наименование, адрес, статус, ИНН, КПП, ФИО руководителя, контакты и т.д. – все поля карточки организации.</w:t>
      </w:r>
    </w:p>
    <w:p w:rsidR="00412CF5" w:rsidRDefault="009E7C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tbl>
      <w:tblPr>
        <w:tblStyle w:val="afc"/>
        <w:tblW w:w="10059" w:type="dxa"/>
        <w:tblInd w:w="142" w:type="dxa"/>
        <w:tblLook w:val="04A0" w:firstRow="1" w:lastRow="0" w:firstColumn="1" w:lastColumn="0" w:noHBand="0" w:noVBand="1"/>
      </w:tblPr>
      <w:tblGrid>
        <w:gridCol w:w="846"/>
        <w:gridCol w:w="3708"/>
        <w:gridCol w:w="1536"/>
        <w:gridCol w:w="1560"/>
        <w:gridCol w:w="2409"/>
      </w:tblGrid>
      <w:tr w:rsidR="00412CF5">
        <w:trPr>
          <w:tblHeader/>
        </w:trPr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708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начала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окончания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</w:t>
            </w:r>
          </w:p>
        </w:tc>
      </w:tr>
      <w:tr w:rsidR="00412CF5">
        <w:trPr>
          <w:tblHeader/>
        </w:trPr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08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12CF5">
        <w:tc>
          <w:tcPr>
            <w:tcW w:w="10059" w:type="dxa"/>
            <w:gridSpan w:val="5"/>
          </w:tcPr>
          <w:p w:rsidR="00412CF5" w:rsidRDefault="009E7C22">
            <w:pPr>
              <w:spacing w:line="360" w:lineRule="auto"/>
              <w:ind w:left="142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Этап 1: Подготовительный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49492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в исполнительные органы субъектов Российской Федерации в сфере культуры документации по проведению работ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13.09.2025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технического задания на актуализацию полей карточки организации в справочнике АИС «Статистика»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13.09.2025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26.09.2025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3708" w:type="dxa"/>
            <w:shd w:val="clear" w:color="auto" w:fill="auto"/>
          </w:tcPr>
          <w:p w:rsidR="00412CF5" w:rsidRDefault="009E7C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открытом доступе методических рекомендаций по работе со справочником организаций </w:t>
            </w:r>
          </w:p>
        </w:tc>
        <w:tc>
          <w:tcPr>
            <w:tcW w:w="1536" w:type="dxa"/>
            <w:shd w:val="clear" w:color="auto" w:fill="auto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13.10.2025</w:t>
            </w:r>
          </w:p>
        </w:tc>
        <w:tc>
          <w:tcPr>
            <w:tcW w:w="1560" w:type="dxa"/>
            <w:shd w:val="clear" w:color="auto" w:fill="auto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3708" w:type="dxa"/>
            <w:shd w:val="clear" w:color="auto" w:fill="auto"/>
          </w:tcPr>
          <w:p w:rsidR="00412CF5" w:rsidRDefault="009E7C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закрытого канала в мессенджере МАХ с доступом  авторизованных пользователей для дополнительной консультационной поддержки и обеспечения работы</w:t>
            </w:r>
          </w:p>
        </w:tc>
        <w:tc>
          <w:tcPr>
            <w:tcW w:w="1536" w:type="dxa"/>
            <w:shd w:val="clear" w:color="auto" w:fill="auto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13.10.2025</w:t>
            </w:r>
          </w:p>
        </w:tc>
        <w:tc>
          <w:tcPr>
            <w:tcW w:w="1560" w:type="dxa"/>
            <w:shd w:val="clear" w:color="auto" w:fill="auto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форм рабочих отчетов для мониторинга процесса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и дополнительных материалов для установочного совещания в режиме ВКС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заинтересованных лиц (представителей исполнительных органов субъектов Российской Федерации в сфере культуры и Ответственных организаций) о месте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ВКС)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ус</w:t>
            </w:r>
            <w:r w:rsidR="00494927">
              <w:rPr>
                <w:rFonts w:ascii="Times New Roman" w:hAnsi="Times New Roman" w:cs="Times New Roman"/>
                <w:sz w:val="24"/>
                <w:szCs w:val="24"/>
              </w:rPr>
              <w:t>тановочного совещания в режиме ВКС</w:t>
            </w:r>
            <w:r>
              <w:rPr>
                <w:rStyle w:val="aff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  <w:r w:rsidR="00F9262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  <w:r w:rsidR="00F92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по портале ГИВЦ Минкультуры России записи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презентации, дополнительных материалов и расшифровки FAQ всем участникам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10059" w:type="dxa"/>
            <w:gridSpan w:val="5"/>
          </w:tcPr>
          <w:p w:rsidR="00412CF5" w:rsidRDefault="009E7C22">
            <w:pPr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Этап 2: Организационный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(при необходимости) сведений об Ответственных организациях</w:t>
            </w:r>
          </w:p>
        </w:tc>
        <w:tc>
          <w:tcPr>
            <w:tcW w:w="1536" w:type="dxa"/>
          </w:tcPr>
          <w:p w:rsidR="00412CF5" w:rsidRDefault="00412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Ответственных организаций (по видам учреждений) о необходимости выполнения Плана</w:t>
            </w:r>
          </w:p>
        </w:tc>
        <w:tc>
          <w:tcPr>
            <w:tcW w:w="1536" w:type="dxa"/>
          </w:tcPr>
          <w:p w:rsidR="00412CF5" w:rsidRDefault="00412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3708" w:type="dxa"/>
            <w:shd w:val="clear" w:color="auto" w:fill="FFFFFF" w:themeFill="background1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контактных данных должностных лиц исполнительных органов субъектов Российской Федерации в сфере культуры, назначенных ответственными за координацию работ по выполнению Плана мероприятий в субъекте Российской Федерации в ГИВЦ Минкультуры России</w:t>
            </w:r>
          </w:p>
        </w:tc>
        <w:tc>
          <w:tcPr>
            <w:tcW w:w="1536" w:type="dxa"/>
          </w:tcPr>
          <w:p w:rsidR="00412CF5" w:rsidRDefault="00412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всех организаций курируемого вида (детские школы искусств, библиотеки, культурно-досуговые учреждения), действующих на территории субъекта, включая все организации культуры, независимо от формы деятельности и ведомственной принадлежности, о необходимости предоставления в Ответственную организацию информации об изменениях, произошедших в 2025 году (ликвидация, переименование, смена руководителя, реорганизация)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</w:p>
        </w:tc>
      </w:tr>
      <w:tr w:rsidR="00412CF5">
        <w:tc>
          <w:tcPr>
            <w:tcW w:w="10059" w:type="dxa"/>
            <w:gridSpan w:val="5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Этап 3: Работа со справочником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справочника организаций АИС «Статистика» на предмет актуальности и соответствия требованиям ГИВЦ Минкультуры России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08" w:type="dxa"/>
          </w:tcPr>
          <w:p w:rsidR="00412CF5" w:rsidRDefault="009E7C22" w:rsidP="001B711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об изменениях, не отраженных в справочнике организаций АИС «Статистика»</w:t>
            </w:r>
            <w:r w:rsidR="001B7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всем организациям курируемого вида (детские школы искусств, библиотеки, культурно-досуговые учреждения), действующи</w:t>
            </w:r>
            <w:r w:rsidR="001B71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субъекта, включая все организации культуры, независимо от формы деятельности и ведомственной принадлежности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Сверка данных с официальными источниками (сайты организаций, данные ФНС России, приказы о назначении руководителей)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05.11.2025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АИС «Статистика»</w:t>
            </w:r>
            <w:r>
              <w:rPr>
                <w:rStyle w:val="aff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  <w:r w:rsidR="00AB6C6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  <w:r w:rsidR="00AB6C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3.5.1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в исполнительный орган субъекта Российской Федерации в сфере культуры промежуточного отчета о ходе работ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3.5.2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промежуточных итогов в формате онлайн-совещания (при необходимости), обработка проблем и возникающих вопросов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27.10.2025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  <w:r w:rsidR="00AB6C6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  <w:r w:rsidR="00AB6C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10059" w:type="dxa"/>
            <w:gridSpan w:val="5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Этап 4: Проверка и согласование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Внутрирегиональная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проверка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субъектов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сфере культуры</w:t>
            </w:r>
            <w:r w:rsidR="00065D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4.2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 стороны ГИВЦ Минкультуры России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сводного отчета по результатам проведенной работы по всем субъектам Российской Федерации с выделением отстающих регионов и организаций, не менявших данные длительное время </w:t>
            </w:r>
            <w:r>
              <w:rPr>
                <w:rStyle w:val="aff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регионами замечаний в соответствии с выявленными недочетами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  <w:r w:rsidR="00065D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организации</w:t>
            </w:r>
          </w:p>
        </w:tc>
      </w:tr>
      <w:tr w:rsidR="00412CF5">
        <w:tc>
          <w:tcPr>
            <w:tcW w:w="10059" w:type="dxa"/>
            <w:gridSpan w:val="5"/>
          </w:tcPr>
          <w:p w:rsidR="00412CF5" w:rsidRDefault="009E7C22">
            <w:pPr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Этап 5: Завершение работ и отчетность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аналитической информации по результатам актуализации, включающей, помимо прочих данных, перечень проблемных вопросов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20.11.2025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об итогах кампании в Минкультуры России 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субъектов Российской Федерации в сфере культуры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20.11.2025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ГИВЦ Минкультуры России</w:t>
            </w:r>
          </w:p>
        </w:tc>
      </w:tr>
      <w:tr w:rsidR="00412CF5">
        <w:tc>
          <w:tcPr>
            <w:tcW w:w="84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3708" w:type="dxa"/>
          </w:tcPr>
          <w:p w:rsidR="00412CF5" w:rsidRDefault="009E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справочника организаций АИС «Статистика» в режим ограниченного редактирования с описанием закрытых полей</w:t>
            </w:r>
          </w:p>
        </w:tc>
        <w:tc>
          <w:tcPr>
            <w:tcW w:w="1536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28.11.2025</w:t>
            </w:r>
          </w:p>
        </w:tc>
        <w:tc>
          <w:tcPr>
            <w:tcW w:w="1560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28.11.2025</w:t>
            </w:r>
          </w:p>
        </w:tc>
        <w:tc>
          <w:tcPr>
            <w:tcW w:w="2409" w:type="dxa"/>
          </w:tcPr>
          <w:p w:rsidR="00412CF5" w:rsidRDefault="009E7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ГИВЦ Минкультуры России</w:t>
            </w:r>
          </w:p>
        </w:tc>
      </w:tr>
    </w:tbl>
    <w:p w:rsidR="00412CF5" w:rsidRDefault="00412C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12CF5">
      <w:pgSz w:w="11907" w:h="16840"/>
      <w:pgMar w:top="851" w:right="680" w:bottom="993" w:left="99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0EA" w:rsidRDefault="00E150EA">
      <w:pPr>
        <w:spacing w:after="0" w:line="240" w:lineRule="auto"/>
      </w:pPr>
      <w:r>
        <w:separator/>
      </w:r>
    </w:p>
  </w:endnote>
  <w:endnote w:type="continuationSeparator" w:id="0">
    <w:p w:rsidR="00E150EA" w:rsidRDefault="00E1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0EA" w:rsidRDefault="00E150EA">
      <w:pPr>
        <w:spacing w:after="0" w:line="240" w:lineRule="auto"/>
      </w:pPr>
      <w:r>
        <w:separator/>
      </w:r>
    </w:p>
  </w:footnote>
  <w:footnote w:type="continuationSeparator" w:id="0">
    <w:p w:rsidR="00E150EA" w:rsidRDefault="00E150EA">
      <w:pPr>
        <w:spacing w:after="0" w:line="240" w:lineRule="auto"/>
      </w:pPr>
      <w:r>
        <w:continuationSeparator/>
      </w:r>
    </w:p>
  </w:footnote>
  <w:footnote w:id="1">
    <w:p w:rsidR="00412CF5" w:rsidRDefault="009E7C22">
      <w:pPr>
        <w:pStyle w:val="afd"/>
        <w:ind w:firstLine="709"/>
        <w:jc w:val="both"/>
        <w:rPr>
          <w:rFonts w:ascii="Times New Roman" w:hAnsi="Times New Roman" w:cs="Times New Roman"/>
        </w:rPr>
      </w:pPr>
      <w:r>
        <w:rPr>
          <w:rStyle w:val="af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Актуальная информация о контактных данных Ответственных организаций по направлениям деятельности публикуются на странице авторизации в АИС «С</w:t>
      </w:r>
      <w:r w:rsidR="00AD4F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атистика» ГИВЦ Минкультуры России </w:t>
      </w:r>
      <w:hyperlink r:id="rId1" w:tooltip="https://statais.mkrf.ru/documentation/SVOD_OO_Contacts.pdf" w:history="1">
        <w:r>
          <w:t>https://statais.mkrf.ru/documentation/SVOD_OO_Contacts.pdf</w:t>
        </w:r>
      </w:hyperlink>
      <w:r>
        <w:rPr>
          <w:rFonts w:ascii="Times New Roman" w:hAnsi="Times New Roman" w:cs="Times New Roman"/>
        </w:rPr>
        <w:t xml:space="preserve"> .</w:t>
      </w:r>
    </w:p>
  </w:footnote>
  <w:footnote w:id="2">
    <w:p w:rsidR="00412CF5" w:rsidRDefault="009E7C22">
      <w:pPr>
        <w:pStyle w:val="afd"/>
        <w:ind w:firstLine="709"/>
        <w:jc w:val="both"/>
      </w:pPr>
      <w:r>
        <w:rPr>
          <w:rStyle w:val="af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Повестка: Представление цели и сроков кампании по актуализации. Разбор технических инструкций (демонстрация интерфейса АИС «Статистика»). Анализ текущей ситуации, разбор типовых ошибок. Ответы на вопросы.</w:t>
      </w:r>
    </w:p>
  </w:footnote>
  <w:footnote w:id="3">
    <w:p w:rsidR="00412CF5" w:rsidRDefault="009E7C22">
      <w:pPr>
        <w:pStyle w:val="afd"/>
        <w:ind w:firstLine="709"/>
        <w:jc w:val="both"/>
      </w:pPr>
      <w:r>
        <w:rPr>
          <w:rStyle w:val="aff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Для действующих организаций – актуализировать все реквизиты; для новых организаций – добавить запись </w:t>
      </w:r>
      <w:r>
        <w:rPr>
          <w:rFonts w:ascii="Times New Roman" w:hAnsi="Times New Roman" w:cs="Times New Roman"/>
          <w:color w:val="000000" w:themeColor="text1"/>
        </w:rPr>
        <w:br/>
        <w:t>в справочник; для ликвидированных/реорганизованных – поставить соответствующую отметку, указать дату и номер правового акта.</w:t>
      </w:r>
    </w:p>
  </w:footnote>
  <w:footnote w:id="4">
    <w:p w:rsidR="00412CF5" w:rsidRDefault="009E7C22">
      <w:pPr>
        <w:pStyle w:val="afd"/>
        <w:ind w:firstLine="709"/>
        <w:jc w:val="both"/>
      </w:pPr>
      <w:r>
        <w:rPr>
          <w:rStyle w:val="aff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 w:themeColor="text1"/>
        </w:rPr>
        <w:t>Сводный отчет содержит информацию о субъектах Российской Федерации, где работа завершена/не завершена</w:t>
      </w:r>
      <w:r w:rsidR="00B67BAE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и детализацию в виде списка организаций, требующих дополнительного внимания в связи с отсутствием изменений в течение длительного времени.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F5"/>
    <w:rsid w:val="00065DAE"/>
    <w:rsid w:val="001B711B"/>
    <w:rsid w:val="00412CF5"/>
    <w:rsid w:val="00494927"/>
    <w:rsid w:val="009D4E6D"/>
    <w:rsid w:val="009E7C22"/>
    <w:rsid w:val="00AB6C67"/>
    <w:rsid w:val="00AD4F9F"/>
    <w:rsid w:val="00B6166B"/>
    <w:rsid w:val="00B67BAE"/>
    <w:rsid w:val="00E150EA"/>
    <w:rsid w:val="00F9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09F6"/>
  <w15:docId w15:val="{68F0288B-2936-493D-9DB0-85C6E9B6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character" w:styleId="af9">
    <w:name w:val="Hyperlink"/>
    <w:basedOn w:val="a0"/>
    <w:uiPriority w:val="99"/>
    <w:unhideWhenUsed/>
    <w:rPr>
      <w:color w:val="0563C1"/>
      <w:u w:val="single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hidden/>
    <w:uiPriority w:val="99"/>
    <w:semiHidden/>
    <w:pPr>
      <w:spacing w:after="0" w:line="240" w:lineRule="auto"/>
    </w:pPr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footnote text"/>
    <w:basedOn w:val="a"/>
    <w:link w:val="af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Pr>
      <w:vertAlign w:val="superscript"/>
    </w:rPr>
  </w:style>
  <w:style w:type="paragraph" w:styleId="aff0">
    <w:name w:val="endnote text"/>
    <w:basedOn w:val="a"/>
    <w:link w:val="af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Pr>
      <w:sz w:val="20"/>
      <w:szCs w:val="20"/>
    </w:rPr>
  </w:style>
  <w:style w:type="character" w:styleId="aff2">
    <w:name w:val="end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E868D462985517D4C2EB5A1FF1203698D7251E49BAA4BE7A955A702DC276F367872072277113AFD289B85DF2DF2D1999AB225F49D065B6x2x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ais.mkrf.ru/documentation/SVOD_OO_Contact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DDC-75E8-4A74-A09C-A02FBA91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Наталия Витальевна</dc:creator>
  <cp:keywords/>
  <dc:description/>
  <cp:lastModifiedBy>Максяева Вера Сергеевна</cp:lastModifiedBy>
  <cp:revision>8</cp:revision>
  <dcterms:created xsi:type="dcterms:W3CDTF">2025-09-18T11:40:00Z</dcterms:created>
  <dcterms:modified xsi:type="dcterms:W3CDTF">2025-09-23T15:24:00Z</dcterms:modified>
</cp:coreProperties>
</file>